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7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18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19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1A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1B" w14:textId="77777777" w:rsidR="00993600" w:rsidRDefault="00993600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993600" w:rsidRDefault="00993600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D" w14:textId="77777777" w:rsidR="00993600" w:rsidRDefault="00F80793" w:rsidP="00F80793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ВЕРЖДЕНО</w:t>
      </w:r>
    </w:p>
    <w:p w14:paraId="0000001E" w14:textId="66974E90" w:rsidR="00993600" w:rsidRPr="00F80793" w:rsidRDefault="00F80793" w:rsidP="00F80793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32-ОД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1F" w14:textId="77777777" w:rsidR="00993600" w:rsidRDefault="00F80793" w:rsidP="00F80793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</w:rPr>
      </w:pPr>
      <w:bookmarkStart w:id="2" w:name="_heading=h.z5cklg34dmti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20" w14:textId="77777777" w:rsidR="00993600" w:rsidRDefault="00F80793" w:rsidP="00F80793">
      <w:pPr>
        <w:shd w:val="clear" w:color="auto" w:fill="FFFFFF"/>
        <w:spacing w:line="240" w:lineRule="auto"/>
        <w:ind w:left="480" w:right="-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21" w14:textId="77777777" w:rsidR="00993600" w:rsidRDefault="00F80793" w:rsidP="00F80793">
      <w:pPr>
        <w:shd w:val="clear" w:color="auto" w:fill="FFFFFF"/>
        <w:spacing w:line="240" w:lineRule="auto"/>
        <w:ind w:left="4800" w:right="-185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22" w14:textId="77777777" w:rsidR="00993600" w:rsidRDefault="00993600" w:rsidP="00F80793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keeerqtff88v" w:colFirst="0" w:colLast="0"/>
      <w:bookmarkEnd w:id="3"/>
    </w:p>
    <w:p w14:paraId="00000023" w14:textId="77777777" w:rsidR="00993600" w:rsidRDefault="00F80793" w:rsidP="00F80793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2et92p0" w:colFirst="0" w:colLast="0"/>
      <w:bookmarkEnd w:id="4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bookmarkEnd w:id="0"/>
    <w:p w14:paraId="00000024" w14:textId="77777777" w:rsidR="00993600" w:rsidRDefault="00993600">
      <w:pPr>
        <w:spacing w:after="200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993600" w:rsidRDefault="00993600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993600" w:rsidRDefault="00993600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993600" w:rsidRDefault="00993600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2A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2B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2C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Правила </w:t>
      </w:r>
    </w:p>
    <w:p w14:paraId="0000002D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внутреннего распорядка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в</w:t>
      </w:r>
    </w:p>
    <w:p w14:paraId="0000002E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5" w:name="_heading=h.dhfmfbbvhm9v" w:colFirst="0" w:colLast="0"/>
      <w:bookmarkEnd w:id="5"/>
      <w:r>
        <w:rPr>
          <w:rFonts w:ascii="Times New Roman" w:eastAsia="Times New Roman" w:hAnsi="Times New Roman" w:cs="Times New Roman"/>
          <w:b/>
          <w:sz w:val="32"/>
          <w:szCs w:val="32"/>
        </w:rPr>
        <w:t>ООО «АЛЬВАРИУМ ГРУПП»</w:t>
      </w:r>
    </w:p>
    <w:p w14:paraId="0000002F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30" w14:textId="77777777" w:rsidR="00993600" w:rsidRDefault="009936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993600" w:rsidRDefault="009936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993600" w:rsidRDefault="009936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3E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0000003F" w14:textId="77777777" w:rsidR="00993600" w:rsidRDefault="00F807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00000040" w14:textId="77777777" w:rsidR="00993600" w:rsidRDefault="009936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Правила внутреннего распорядка обучающихся в ООО «АЛЬВАРИУМ ГРУПП» (далее - Правила) являются локальным нормативным актом ООО «АЛЬВАРИУМ ГРУПП» и регламентируют права и обязанности обучающихся, правила поведения обучающихся во время обучения в ООО «АЛ</w:t>
      </w:r>
      <w:r>
        <w:rPr>
          <w:rFonts w:ascii="Times New Roman" w:eastAsia="Times New Roman" w:hAnsi="Times New Roman" w:cs="Times New Roman"/>
          <w:sz w:val="24"/>
          <w:szCs w:val="24"/>
        </w:rPr>
        <w:t>ЬВАРИУМ ГРУПП», их ответственность за нарушение учебной дисциплины, устанавливают общие требования к организации учебного процесса.</w:t>
      </w:r>
    </w:p>
    <w:p w14:paraId="00000042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Данные Правила разработаны в соответствии с Федеральным законом от 29 декабря 2012 г. № 273-ФЗ "Об образовании в Россий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Федерации",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образования и науки Российской Федерац</w:t>
      </w:r>
      <w:r>
        <w:rPr>
          <w:rFonts w:ascii="Times New Roman" w:eastAsia="Times New Roman" w:hAnsi="Times New Roman" w:cs="Times New Roman"/>
          <w:sz w:val="24"/>
          <w:szCs w:val="24"/>
        </w:rPr>
        <w:t>ии от 15 марта 2013 года № 185 «Об утверждении Порядка применения к обучающимся и снятия с 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мер дисциплинарного взыскания»,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43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Правила являются обязательными для всех лиц, обучающихся в ООО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44" w14:textId="77777777" w:rsidR="00993600" w:rsidRDefault="009936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993600" w:rsidRDefault="00F8079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Права и обязанности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00000046" w14:textId="77777777" w:rsidR="00993600" w:rsidRDefault="009936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Обучающиеся являются участниками образовательного процесса и обладают соответствующими правами и обязанностями, предусмотренными Федеральным законом от 29.12.2012 г. № 273-ФЗ «Об образовании в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Федерации».</w:t>
      </w:r>
    </w:p>
    <w:p w14:paraId="00000048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Права и обязанности обучающегося, предусмотренные законодательством об образовании 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возникают у лица, принятого на обучения, с даты зачисления.</w:t>
      </w:r>
    </w:p>
    <w:p w14:paraId="00000049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имеют право </w:t>
      </w:r>
      <w:r>
        <w:rPr>
          <w:rFonts w:ascii="Times New Roman" w:eastAsia="Times New Roman" w:hAnsi="Times New Roman" w:cs="Times New Roman"/>
          <w:sz w:val="24"/>
          <w:szCs w:val="24"/>
        </w:rPr>
        <w:t>на:</w:t>
      </w:r>
    </w:p>
    <w:p w14:paraId="0000004A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ГРУПП»;</w:t>
      </w:r>
    </w:p>
    <w:p w14:paraId="0000004B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зачет результатов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</w:rPr>
        <w:t>бных предметов, курсов, дисциплин (модулей), практики, дополнительных образовательных программ в других учебных заведениях;</w:t>
      </w:r>
    </w:p>
    <w:p w14:paraId="0000004C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уважение человеческого достоинства, защиту от всех форм физического и психического насилия, оскорбления личности, охрану жизни и з</w:t>
      </w:r>
      <w:r>
        <w:rPr>
          <w:rFonts w:ascii="Times New Roman" w:eastAsia="Times New Roman" w:hAnsi="Times New Roman" w:cs="Times New Roman"/>
          <w:sz w:val="24"/>
          <w:szCs w:val="24"/>
        </w:rPr>
        <w:t>доровья;</w:t>
      </w:r>
    </w:p>
    <w:p w14:paraId="0000004D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свободу совести, информации, свободное выражение собственных взглядов и убеждений;</w:t>
      </w:r>
    </w:p>
    <w:p w14:paraId="0000004E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zd1rxb6tef2n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-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</w:t>
      </w:r>
      <w:r>
        <w:rPr>
          <w:rFonts w:ascii="Times New Roman" w:eastAsia="Times New Roman" w:hAnsi="Times New Roman" w:cs="Times New Roman"/>
          <w:sz w:val="24"/>
          <w:szCs w:val="24"/>
        </w:rPr>
        <w:t>гими документами, регламентирующими организацию и осуществление образовательной деятельности в ООО «АЛЬВАРИУМ ГРУПП»;</w:t>
      </w:r>
    </w:p>
    <w:p w14:paraId="0000004F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обжалование локальных нормативных актов ООО «АЛЬВАРИУМ ГРУПП» в установленном законодательством РФ порядке;</w:t>
      </w:r>
    </w:p>
    <w:p w14:paraId="00000050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бесплатное пользование биб</w:t>
      </w:r>
      <w:r>
        <w:rPr>
          <w:rFonts w:ascii="Times New Roman" w:eastAsia="Times New Roman" w:hAnsi="Times New Roman" w:cs="Times New Roman"/>
          <w:sz w:val="24"/>
          <w:szCs w:val="24"/>
        </w:rPr>
        <w:t>лиотечно-информационными ресурсам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 во время обучения;</w:t>
      </w:r>
    </w:p>
    <w:p w14:paraId="00000051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иные права, предусмотренные Федеральным законом «Об образовании в Российской Федерации», иными нормативными правовыми актами Российской Федерации,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52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Обучающиеся обязаны:</w:t>
      </w:r>
    </w:p>
    <w:p w14:paraId="00000053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</w:t>
      </w:r>
      <w:r>
        <w:rPr>
          <w:rFonts w:ascii="Times New Roman" w:eastAsia="Times New Roman" w:hAnsi="Times New Roman" w:cs="Times New Roman"/>
          <w:sz w:val="24"/>
          <w:szCs w:val="24"/>
        </w:rPr>
        <w:t>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0000054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выполнять требования Устав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правил внутреннего распорядка, и иных локальных нормативных актов ООО «АЛЬВАРИУМ ГРУПП» по вопросам организации и осуществления образовательной деятельности;</w:t>
      </w:r>
    </w:p>
    <w:p w14:paraId="00000055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заботиться о сохранении и об укреплении сво</w:t>
      </w:r>
      <w:r>
        <w:rPr>
          <w:rFonts w:ascii="Times New Roman" w:eastAsia="Times New Roman" w:hAnsi="Times New Roman" w:cs="Times New Roman"/>
          <w:sz w:val="24"/>
          <w:szCs w:val="24"/>
        </w:rPr>
        <w:t>его здоровья, стремиться к нравственному, духовному и физическому развитию и самосовершенствованию;</w:t>
      </w:r>
    </w:p>
    <w:p w14:paraId="00000056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уважать честь и достоинство других обучающихся и работников ООО «АЛЬВАРИУМ ГРУПП», не создавать препятствий для получения образования другими 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57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авторские прав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ГРУПП»;</w:t>
      </w:r>
    </w:p>
    <w:p w14:paraId="00000058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общепринятые нормы морали;</w:t>
      </w:r>
    </w:p>
    <w:p w14:paraId="00000059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обеспечить наличие устройства и стабильного интернета для участия в образовательном процессе по образовательным программам, осуществляемым исключительно дистанцио</w:t>
      </w:r>
      <w:r>
        <w:rPr>
          <w:rFonts w:ascii="Times New Roman" w:eastAsia="Times New Roman" w:hAnsi="Times New Roman" w:cs="Times New Roman"/>
          <w:sz w:val="24"/>
          <w:szCs w:val="24"/>
        </w:rPr>
        <w:t>нно (с применением электронного обучения, дистанционных образовательных технологий);</w:t>
      </w:r>
    </w:p>
    <w:p w14:paraId="0000005A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правила охраны труда и техники безопасности.</w:t>
      </w:r>
    </w:p>
    <w:p w14:paraId="0000005B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Обучающимся запрещается:</w:t>
      </w:r>
    </w:p>
    <w:p w14:paraId="0000005C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нарушать законодательство об образовании, локальные акт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ы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ГРУПП»;</w:t>
      </w:r>
    </w:p>
    <w:p w14:paraId="0000005D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нарушать сроки обучения, предусмотренные договором и образовательной программой;</w:t>
      </w:r>
    </w:p>
    <w:p w14:paraId="0000005E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автоматизированные программы для сбора информации на образовательной платформе ООО «АЛЬВАРИУМ ГРУПП»;</w:t>
      </w:r>
    </w:p>
    <w:p w14:paraId="0000005F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незаконный сбор и обработку персональных да</w:t>
      </w:r>
      <w:r>
        <w:rPr>
          <w:rFonts w:ascii="Times New Roman" w:eastAsia="Times New Roman" w:hAnsi="Times New Roman" w:cs="Times New Roman"/>
          <w:sz w:val="24"/>
          <w:szCs w:val="24"/>
        </w:rPr>
        <w:t>нных других обучающихся;</w:t>
      </w:r>
    </w:p>
    <w:p w14:paraId="00000060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доступ к образовательной платформе ООО «АЛЬВАРИУМ ГРУПП», кроме как через интерфейс, предоставленный ООО «АЛЬВАРИУМ ГРУПП»;</w:t>
      </w:r>
    </w:p>
    <w:p w14:paraId="00000061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кому-либо сообщать свои логин и пароль для авторизации на образовательной платформе ООО «А</w:t>
      </w:r>
      <w:r>
        <w:rPr>
          <w:rFonts w:ascii="Times New Roman" w:eastAsia="Times New Roman" w:hAnsi="Times New Roman" w:cs="Times New Roman"/>
          <w:sz w:val="24"/>
          <w:szCs w:val="24"/>
        </w:rPr>
        <w:t>ЛЬВАРИУМ ГРУПП».</w:t>
      </w:r>
    </w:p>
    <w:p w14:paraId="00000062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За неисполнение или нарушение Устав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настоящих Правил и иных локальных нормативных актов по вопросам организации и осуществления образовательной деятельности, обучающиеся несут ответственность в соответствии с н</w:t>
      </w:r>
      <w:r>
        <w:rPr>
          <w:rFonts w:ascii="Times New Roman" w:eastAsia="Times New Roman" w:hAnsi="Times New Roman" w:cs="Times New Roman"/>
          <w:sz w:val="24"/>
          <w:szCs w:val="24"/>
        </w:rPr>
        <w:t>астоящими Правилами.</w:t>
      </w:r>
    </w:p>
    <w:p w14:paraId="00000063" w14:textId="77777777" w:rsidR="00993600" w:rsidRDefault="009936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4" w14:textId="77777777" w:rsidR="00993600" w:rsidRDefault="00F8079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Поощрения и дисциплинарные взыскания</w:t>
      </w:r>
    </w:p>
    <w:p w14:paraId="00000065" w14:textId="77777777" w:rsidR="00993600" w:rsidRDefault="009936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За успехи в обучении, общественной деятельности обучающиеся могут быть поощрены. Решение о поощрении принимает руководитель ООО «АЛЬВАРИУМ ГРУПП», которое оформляется приказом. Виды поощ</w:t>
      </w:r>
      <w:r>
        <w:rPr>
          <w:rFonts w:ascii="Times New Roman" w:eastAsia="Times New Roman" w:hAnsi="Times New Roman" w:cs="Times New Roman"/>
          <w:sz w:val="24"/>
          <w:szCs w:val="24"/>
        </w:rPr>
        <w:t>рений могут быть следующими:</w:t>
      </w:r>
    </w:p>
    <w:p w14:paraId="00000067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благодарность;</w:t>
      </w:r>
    </w:p>
    <w:p w14:paraId="00000068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награждение Почетной грамотой;</w:t>
      </w:r>
    </w:p>
    <w:p w14:paraId="00000069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благодарственное письмо.</w:t>
      </w:r>
    </w:p>
    <w:p w14:paraId="0000006A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За неисполнение или нарушение Устава ООО «АЛЬВАРИУМ ГРУПП», настоящих Правил и иных локальных нормативных актов ООО «АЛЬВАРИУМ ГРУПП» по вопросам организации и осуществления образовательной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могут быть применены следующие мер</w:t>
      </w:r>
      <w:r>
        <w:rPr>
          <w:rFonts w:ascii="Times New Roman" w:eastAsia="Times New Roman" w:hAnsi="Times New Roman" w:cs="Times New Roman"/>
          <w:sz w:val="24"/>
          <w:szCs w:val="24"/>
        </w:rPr>
        <w:t>ы дисциплинарного взыскания:</w:t>
      </w:r>
    </w:p>
    <w:p w14:paraId="0000006B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замечание;</w:t>
      </w:r>
    </w:p>
    <w:p w14:paraId="0000006C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выговор;</w:t>
      </w:r>
    </w:p>
    <w:p w14:paraId="0000006D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f10h4kij9guv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- отчисление из ООО «АЛЬВАРИУМ ГРУПП».</w:t>
      </w:r>
    </w:p>
    <w:p w14:paraId="0000006E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Применение к обучающимся и снятие с обучающихся мер дисциплинарного взыскания производится в соответствии с приказом Министерства образования и науки Российской Федерации от 15 марта 2013 года № 185 «Об утверждении Порядка применения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и с</w:t>
      </w:r>
      <w:r>
        <w:rPr>
          <w:rFonts w:ascii="Times New Roman" w:eastAsia="Times New Roman" w:hAnsi="Times New Roman" w:cs="Times New Roman"/>
          <w:sz w:val="24"/>
          <w:szCs w:val="24"/>
        </w:rPr>
        <w:t>нятия с обучающихся мер дисциплинарного взыскания».</w:t>
      </w:r>
    </w:p>
    <w:p w14:paraId="0000006F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За каждый дисциплинарный проступок может быть применена одна мера дисциплинарного взыскания. При выборе меры дисциплинарного взыскания необходимо учитывать тяжесть дисциплинарного проступка, причины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обучающихся (при его наличии). </w:t>
      </w:r>
    </w:p>
    <w:p w14:paraId="00000070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До применения меры дисциплинарного взыскания ООО «АЛЬВАРИУМ ГРУПП»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олжно затребовать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 Отказ или уклонение обучающегося от предоставления им письменного объяснения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является препятствием для применения меры дисциплинарного взыскания. </w:t>
      </w:r>
    </w:p>
    <w:p w14:paraId="00000071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Применение к обучающемуся меры дисциплинарного взыскания оформляется приказом руководителя ООО «АЛЬВАРИУМ ГРУПП», который доводится до обучающегося под роспись в течение трех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ебных дней со дня его издания. Отказ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указанным приказом под роспись оформляется соответствующим актом. </w:t>
      </w:r>
    </w:p>
    <w:p w14:paraId="00000072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вправе обжаловать в комиссию по урегулированию споров между участниками образовательных отношений меры дисц</w:t>
      </w:r>
      <w:r>
        <w:rPr>
          <w:rFonts w:ascii="Times New Roman" w:eastAsia="Times New Roman" w:hAnsi="Times New Roman" w:cs="Times New Roman"/>
          <w:sz w:val="24"/>
          <w:szCs w:val="24"/>
        </w:rPr>
        <w:t>иплинарного взыскания и их применение к обучающемуся.</w:t>
      </w:r>
    </w:p>
    <w:p w14:paraId="00000073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обязательном порядке отчисляется сразу же после выявления факта нахождения во время обучения в состоянии алкогольного, наркотического или токсического опьянения.</w:t>
      </w:r>
    </w:p>
    <w:p w14:paraId="00000074" w14:textId="77777777" w:rsidR="00993600" w:rsidRDefault="009936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5" w14:textId="77777777" w:rsidR="00993600" w:rsidRDefault="00F8079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Защита прав обуч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ающихся</w:t>
      </w:r>
    </w:p>
    <w:p w14:paraId="00000076" w14:textId="77777777" w:rsidR="00993600" w:rsidRDefault="009936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7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jtucf8x3k9qi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4.1. В целях защиты своих прав, обучающиеся самостоятельно или через своих представителей вправе:</w:t>
      </w:r>
    </w:p>
    <w:p w14:paraId="00000078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Направлять руководителю ООО «АЛЬВАРИУМ ГРУПП» обращение о нарушении и (или) ущемлении его работниками прав, свобод и гарантий обучающихся;</w:t>
      </w:r>
    </w:p>
    <w:p w14:paraId="00000079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sz w:val="24"/>
          <w:szCs w:val="24"/>
        </w:rPr>
        <w:t>.2. Обращаться в комиссию по урегулированию споров между участниками образовательных отношений;</w:t>
      </w:r>
    </w:p>
    <w:p w14:paraId="0000007A" w14:textId="77777777" w:rsidR="00993600" w:rsidRDefault="00F807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 Использовать не запрещенные законодательством РФ иные способы защиты своих прав и законных интересов.</w:t>
      </w:r>
    </w:p>
    <w:p w14:paraId="0000007B" w14:textId="77777777" w:rsidR="00993600" w:rsidRDefault="009936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C" w14:textId="77777777" w:rsidR="00993600" w:rsidRDefault="00F8079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Заключительные положения</w:t>
      </w:r>
    </w:p>
    <w:p w14:paraId="0000007D" w14:textId="77777777" w:rsidR="00993600" w:rsidRDefault="009936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E" w14:textId="77777777" w:rsidR="00993600" w:rsidRDefault="00F807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5.1. Настоящие Прави</w:t>
      </w:r>
      <w:r>
        <w:rPr>
          <w:rFonts w:ascii="Times New Roman" w:eastAsia="Times New Roman" w:hAnsi="Times New Roman" w:cs="Times New Roman"/>
          <w:sz w:val="24"/>
          <w:szCs w:val="24"/>
        </w:rPr>
        <w:t>ла вступают в силу со дня их утверждения руководителем ООО «АЛЬВАРИУМ ГРУПП».</w:t>
      </w:r>
    </w:p>
    <w:p w14:paraId="0000007F" w14:textId="77777777" w:rsidR="00993600" w:rsidRDefault="00F8079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знакомится с настоящими Правилами до момента получения платных образовательных услуг.</w:t>
      </w:r>
    </w:p>
    <w:p w14:paraId="00000080" w14:textId="77777777" w:rsidR="00993600" w:rsidRDefault="00F80793">
      <w:pPr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Настоящие Правила могут быть пересмотрены путем разработки дополнений </w:t>
      </w:r>
      <w:r>
        <w:rPr>
          <w:rFonts w:ascii="Times New Roman" w:eastAsia="Times New Roman" w:hAnsi="Times New Roman" w:cs="Times New Roman"/>
          <w:sz w:val="24"/>
          <w:szCs w:val="24"/>
        </w:rPr>
        <w:t>и приложений, утверждаемых приказом руководителя ООО «АЛЬВАРИУМ ГРУПП».</w:t>
      </w:r>
    </w:p>
    <w:sectPr w:rsidR="00993600">
      <w:pgSz w:w="11909" w:h="16834"/>
      <w:pgMar w:top="1440" w:right="1440" w:bottom="123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3600"/>
    <w:rsid w:val="00993600"/>
    <w:rsid w:val="00F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LLVx3owXaeCFA2wDyKIBpEgGA==">CgMxLjAyCWguMWZvYjl0ZTIOaC56NWNrbGczNGRtdGkyDmgua2VlZXJxdGZmODh2MgloLjJldDkycDAyDmguZGhmbWZiYnZobTl2Mg5oLnpkMXJ4YjZ0ZWYybjIOaC5mMTBoNGtpajlndXYyDmguanR1Y2Y4eDNrOXFpOABqQgo1c3VnZ2VzdElkSW1wb3J0M2M4ZmQ2MTgtYjZlNi00ZTY4LTlhYzMtODk0M2Y0ODQ3ZWM5XzgSCUFub255bW91c2pCCjVzdWdnZXN0SWRJbXBvcnQzYzhmZDYxOC1iNmU2LTRlNjgtOWFjMy04OTQzZjQ4NDdlYzlfMRIJQW5vbnltb3VzakIKNXN1Z2dlc3RJZEltcG9ydDNjOGZkNjE4LWI2ZTYtNGU2OC05YWMzLTg5NDNmNDg0N2VjOV8yEglBbm9ueW1vdXNyITFQNG5LTjVDNXVIeVMzTnpOVDJ1OThfSi1VREwxZWE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2</cp:revision>
  <dcterms:created xsi:type="dcterms:W3CDTF">2025-11-17T18:41:00Z</dcterms:created>
  <dcterms:modified xsi:type="dcterms:W3CDTF">2025-11-17T18:43:00Z</dcterms:modified>
</cp:coreProperties>
</file>